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8D32CAB" w:rsidR="001A53D6" w:rsidRPr="00C66E4D" w:rsidRDefault="009D584F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9D584F">
              <w:rPr>
                <w:rFonts w:ascii="Times New Roman" w:hAnsi="Times New Roman" w:cs="Times New Roman"/>
                <w:b/>
                <w:color w:val="000000" w:themeColor="text1"/>
              </w:rPr>
              <w:t>JCRTO-2912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20A4C4A5" w:rsidR="003069E0" w:rsidRPr="00C66E4D" w:rsidRDefault="009D584F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9D584F">
              <w:rPr>
                <w:rFonts w:ascii="Times New Roman" w:hAnsi="Times New Roman" w:cs="Times New Roman"/>
                <w:b/>
                <w:color w:val="000000" w:themeColor="text1"/>
              </w:rPr>
              <w:t>Luo</w:t>
            </w:r>
            <w:proofErr w:type="spellEnd"/>
            <w:r w:rsidRPr="009D584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9D584F">
              <w:rPr>
                <w:rFonts w:ascii="Times New Roman" w:hAnsi="Times New Roman" w:cs="Times New Roman"/>
                <w:b/>
                <w:color w:val="000000" w:themeColor="text1"/>
              </w:rPr>
              <w:t>Weixuan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4BF0308E" w:rsidR="002A5015" w:rsidRPr="00C66E4D" w:rsidRDefault="00E9204E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34F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9D584F" w:rsidRPr="009D58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Apatinib</w:t>
            </w:r>
            <w:proofErr w:type="spellEnd"/>
            <w:r w:rsidR="009D584F" w:rsidRPr="009D58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combined with an anti-PD-1 agent promotes immune response to inhibit tumour growth in mice with ovarian cancer</w:t>
            </w:r>
          </w:p>
          <w:p w14:paraId="3B31C978" w14:textId="387E937C" w:rsidR="0075731A" w:rsidRDefault="00140858" w:rsidP="0075731A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9D584F"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This study presents a significant step forward in ovarian cancer research by highlighting the potential of combining </w:t>
            </w:r>
            <w:proofErr w:type="spellStart"/>
            <w:r w:rsidR="009D584F"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antiangiogenic</w:t>
            </w:r>
            <w:proofErr w:type="spellEnd"/>
            <w:r w:rsidR="009D584F"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therapy with immunotherapy. With further validation and optimization, this approach could offer new hope for improving the prognosis of ovarian cancer patients.</w:t>
            </w:r>
          </w:p>
          <w:p w14:paraId="6AECC9F8" w14:textId="105DBED2" w:rsidR="009D584F" w:rsidRDefault="009D584F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provides a good background on the importance of PD-L1 and anti-PD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-1 therapy in cancer treatment.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It sets up the rationale for investigating the combination of </w:t>
            </w:r>
            <w:proofErr w:type="spellStart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apatinib</w:t>
            </w:r>
            <w:proofErr w:type="spellEnd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an anti-PD-1 antibody.</w:t>
            </w:r>
          </w:p>
          <w:p w14:paraId="190D2BB4" w14:textId="3A966FFB" w:rsidR="009D584F" w:rsidRDefault="009D584F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Methods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:-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methods section effectively outlines the experimental design and techniques, ensuring that the study can be replicated. It demonstrates a comprehensive approach by including multiple methods to measure PD-L1 expression and immune cell infiltration. While the section is detailed, providing additional information on protocols such as </w:t>
            </w:r>
            <w:proofErr w:type="spellStart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qRT</w:t>
            </w:r>
            <w:proofErr w:type="spellEnd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-PCR and flow </w:t>
            </w:r>
            <w:proofErr w:type="spellStart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cytometry</w:t>
            </w:r>
            <w:proofErr w:type="spellEnd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would further enhance clarity and reproducibility.</w:t>
            </w:r>
          </w:p>
          <w:p w14:paraId="1EB34D3B" w14:textId="449C4150" w:rsidR="009D584F" w:rsidRDefault="009D584F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results section presents the findings clearly and logically.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It includes both in vitro and in vivo data, providing a comprehensive view of the study's outcomes.</w:t>
            </w:r>
          </w:p>
          <w:p w14:paraId="29524E91" w14:textId="280C366E" w:rsidR="009D584F" w:rsidRDefault="009D584F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more detailed mechanistic insights into how </w:t>
            </w:r>
            <w:proofErr w:type="spellStart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apatinib</w:t>
            </w:r>
            <w:proofErr w:type="spellEnd"/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anti-PD-1 antibodies work together to enhance the immune response.</w:t>
            </w:r>
            <w:r>
              <w:t xml:space="preserve">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clinical implications of the findings more thoroughly, including potential benefits and challenges of translating this combination therapy to human patients.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9D58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Acknowledge the limitations of the study, such as the use of a mouse model and the need for further validation in clinical trials.</w:t>
            </w:r>
          </w:p>
          <w:p w14:paraId="39826C1C" w14:textId="77777777" w:rsidR="009D584F" w:rsidRDefault="009D584F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63D48" w14:textId="77777777" w:rsidR="008F5107" w:rsidRDefault="008F5107" w:rsidP="00F65AB0">
      <w:pPr>
        <w:spacing w:after="0" w:line="240" w:lineRule="auto"/>
      </w:pPr>
      <w:r>
        <w:separator/>
      </w:r>
    </w:p>
  </w:endnote>
  <w:endnote w:type="continuationSeparator" w:id="0">
    <w:p w14:paraId="3C3E9EAD" w14:textId="77777777" w:rsidR="008F5107" w:rsidRDefault="008F510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BE500" w14:textId="77777777" w:rsidR="008F5107" w:rsidRDefault="008F5107" w:rsidP="00F65AB0">
      <w:pPr>
        <w:spacing w:after="0" w:line="240" w:lineRule="auto"/>
      </w:pPr>
      <w:r>
        <w:separator/>
      </w:r>
    </w:p>
  </w:footnote>
  <w:footnote w:type="continuationSeparator" w:id="0">
    <w:p w14:paraId="642CB525" w14:textId="77777777" w:rsidR="008F5107" w:rsidRDefault="008F510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107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0114"/>
    <w:rsid w:val="00D75683"/>
    <w:rsid w:val="00D83CAC"/>
    <w:rsid w:val="00D8492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30E00-9ECF-4FFA-A2E2-B896142F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2024-05-27T04:45:00Z</dcterms:created>
  <dcterms:modified xsi:type="dcterms:W3CDTF">2024-05-27T04:45:00Z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